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DE18" w14:textId="47E27B66" w:rsidR="00F43867" w:rsidRPr="00D504D4" w:rsidRDefault="00D504D4">
      <w:pPr>
        <w:rPr>
          <w:rFonts w:ascii="Times New Roman" w:hAnsi="Times New Roman" w:cs="Times New Roman"/>
          <w:b/>
          <w:bCs/>
        </w:rPr>
      </w:pPr>
      <w:r w:rsidRPr="00D504D4">
        <w:rPr>
          <w:rFonts w:ascii="Times New Roman" w:hAnsi="Times New Roman" w:cs="Times New Roman"/>
          <w:b/>
          <w:bCs/>
        </w:rPr>
        <w:t>General Jury Instructions at End of Criminal Case</w:t>
      </w:r>
      <w:r w:rsidRPr="00D504D4">
        <w:rPr>
          <w:rFonts w:ascii="Times New Roman" w:hAnsi="Times New Roman" w:cs="Times New Roman"/>
          <w:b/>
          <w:bCs/>
        </w:rPr>
        <w:t xml:space="preserve"> [From Benchbook 2.8.A-C]</w:t>
      </w:r>
    </w:p>
    <w:p w14:paraId="60B5537A" w14:textId="77777777" w:rsidR="00D504D4" w:rsidRDefault="00D504D4"/>
    <w:p w14:paraId="1223F872" w14:textId="77777777" w:rsidR="00D504D4" w:rsidRPr="009D2686" w:rsidRDefault="00D504D4" w:rsidP="00D504D4">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General rules</w:t>
      </w:r>
    </w:p>
    <w:p w14:paraId="08FEE2FE"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Outline the duty of the jury:</w:t>
      </w:r>
    </w:p>
    <w:p w14:paraId="3556D8E1"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to find the facts from admitted </w:t>
      </w:r>
      <w:proofErr w:type="gramStart"/>
      <w:r w:rsidRPr="009D2686">
        <w:rPr>
          <w:rFonts w:ascii="Times New Roman" w:hAnsi="Times New Roman" w:cs="Times New Roman"/>
          <w:color w:val="000000" w:themeColor="text1"/>
        </w:rPr>
        <w:t>evidence;</w:t>
      </w:r>
      <w:proofErr w:type="gramEnd"/>
    </w:p>
    <w:p w14:paraId="5FCB08D4"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to apply the law as given by the court to facts as found by the jury; and</w:t>
      </w:r>
    </w:p>
    <w:p w14:paraId="0B1E85BC"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to decide the case on the evidence and the law, regardless of personal opinions and without bias, prejudice, or sympathy.</w:t>
      </w:r>
    </w:p>
    <w:p w14:paraId="2CFD332C"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Clearly enunciate the three basic rules in a criminal case:</w:t>
      </w:r>
    </w:p>
    <w:p w14:paraId="08A0E978"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presumption of </w:t>
      </w:r>
      <w:proofErr w:type="gramStart"/>
      <w:r w:rsidRPr="009D2686">
        <w:rPr>
          <w:rFonts w:ascii="Times New Roman" w:hAnsi="Times New Roman" w:cs="Times New Roman"/>
          <w:color w:val="000000" w:themeColor="text1"/>
        </w:rPr>
        <w:t>innocence;</w:t>
      </w:r>
      <w:proofErr w:type="gramEnd"/>
    </w:p>
    <w:p w14:paraId="202942D7"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burden of proof on government; and</w:t>
      </w:r>
    </w:p>
    <w:p w14:paraId="69F5E5F4"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proof beyond a reasonable doubt.</w:t>
      </w:r>
    </w:p>
    <w:p w14:paraId="1983B628"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 xml:space="preserve">Indicate the evidence to be considered: </w:t>
      </w:r>
    </w:p>
    <w:p w14:paraId="6CEFE150"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sworn testimony of </w:t>
      </w:r>
      <w:proofErr w:type="gramStart"/>
      <w:r w:rsidRPr="009D2686">
        <w:rPr>
          <w:rFonts w:ascii="Times New Roman" w:hAnsi="Times New Roman" w:cs="Times New Roman"/>
          <w:color w:val="000000" w:themeColor="text1"/>
        </w:rPr>
        <w:t>witnesses;</w:t>
      </w:r>
      <w:proofErr w:type="gramEnd"/>
    </w:p>
    <w:p w14:paraId="49A3B086"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r>
      <w:proofErr w:type="gramStart"/>
      <w:r w:rsidRPr="009D2686">
        <w:rPr>
          <w:rFonts w:ascii="Times New Roman" w:hAnsi="Times New Roman" w:cs="Times New Roman"/>
          <w:color w:val="000000" w:themeColor="text1"/>
        </w:rPr>
        <w:t>exhibits;</w:t>
      </w:r>
      <w:proofErr w:type="gramEnd"/>
    </w:p>
    <w:p w14:paraId="27B7E544"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stipulations; and</w:t>
      </w:r>
    </w:p>
    <w:p w14:paraId="54E31A59"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facts judicially noticed.</w:t>
      </w:r>
    </w:p>
    <w:p w14:paraId="2776AE76"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Indicate what is not evidence:</w:t>
      </w:r>
    </w:p>
    <w:p w14:paraId="0F0FAE73"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arguments and statements of </w:t>
      </w:r>
      <w:proofErr w:type="gramStart"/>
      <w:r w:rsidRPr="009D2686">
        <w:rPr>
          <w:rFonts w:ascii="Times New Roman" w:hAnsi="Times New Roman" w:cs="Times New Roman"/>
          <w:color w:val="000000" w:themeColor="text1"/>
        </w:rPr>
        <w:t>counsel;</w:t>
      </w:r>
      <w:proofErr w:type="gramEnd"/>
    </w:p>
    <w:p w14:paraId="67A4337D"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questions to </w:t>
      </w:r>
      <w:proofErr w:type="gramStart"/>
      <w:r w:rsidRPr="009D2686">
        <w:rPr>
          <w:rFonts w:ascii="Times New Roman" w:hAnsi="Times New Roman" w:cs="Times New Roman"/>
          <w:color w:val="000000" w:themeColor="text1"/>
        </w:rPr>
        <w:t>witnesses;</w:t>
      </w:r>
      <w:proofErr w:type="gramEnd"/>
    </w:p>
    <w:p w14:paraId="215827B7"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evidence excluded by rulings of the court; and</w:t>
      </w:r>
    </w:p>
    <w:p w14:paraId="4DF86122"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indictment (information).</w:t>
      </w:r>
    </w:p>
    <w:p w14:paraId="4CB34465" w14:textId="77777777" w:rsidR="00D504D4" w:rsidRPr="009D2686" w:rsidRDefault="00D504D4" w:rsidP="00D504D4">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Define with precision and with specific consideration of the law of your circuit the elements of each offense to be submitted to the jury and of each defense the jury is to consider.</w:t>
      </w:r>
    </w:p>
    <w:p w14:paraId="1453B7E0" w14:textId="77777777" w:rsidR="00D504D4" w:rsidRPr="009D2686" w:rsidRDefault="00D504D4" w:rsidP="00D504D4">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Jury procedure</w:t>
      </w:r>
    </w:p>
    <w:p w14:paraId="6AC1D667"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Explain the selection and duty of the foreperson.</w:t>
      </w:r>
    </w:p>
    <w:p w14:paraId="294B18F1"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Explain the process of jury deliberation:</w:t>
      </w:r>
    </w:p>
    <w:p w14:paraId="4108A221"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rational discussion of the evidence by all jurors for the purpose of reaching a unanimous </w:t>
      </w:r>
      <w:proofErr w:type="gramStart"/>
      <w:r w:rsidRPr="009D2686">
        <w:rPr>
          <w:rFonts w:ascii="Times New Roman" w:hAnsi="Times New Roman" w:cs="Times New Roman"/>
          <w:color w:val="000000" w:themeColor="text1"/>
        </w:rPr>
        <w:t>verdict;</w:t>
      </w:r>
      <w:proofErr w:type="gramEnd"/>
    </w:p>
    <w:p w14:paraId="034097E5"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each juror is to decide the case for himself or herself in the context of the evidence and the law, with proper consideration of other jurors’ </w:t>
      </w:r>
      <w:proofErr w:type="gramStart"/>
      <w:r w:rsidRPr="009D2686">
        <w:rPr>
          <w:rFonts w:ascii="Times New Roman" w:hAnsi="Times New Roman" w:cs="Times New Roman"/>
          <w:color w:val="000000" w:themeColor="text1"/>
        </w:rPr>
        <w:t>views;</w:t>
      </w:r>
      <w:proofErr w:type="gramEnd"/>
    </w:p>
    <w:p w14:paraId="600FDFBE" w14:textId="77777777" w:rsidR="00D504D4" w:rsidRPr="009D2686" w:rsidRDefault="00D504D4" w:rsidP="00D504D4">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jurors may reconsider their views if persuaded by rational discussion but not solely for the sake of reaching a unanimous verdict.</w:t>
      </w:r>
    </w:p>
    <w:p w14:paraId="5C0754AA"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The verdict must be unanimous on each count (explain verdict form if used).</w:t>
      </w:r>
      <w:r w:rsidRPr="009D2686">
        <w:rPr>
          <w:rStyle w:val="FootnoteReference"/>
          <w:rFonts w:cs="Times New Roman"/>
          <w:color w:val="000000" w:themeColor="text1"/>
        </w:rPr>
        <w:footnoteReference w:id="1"/>
      </w:r>
    </w:p>
    <w:p w14:paraId="2047EA08"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The jury’s communications with the court during deliberations must be in writing and signed by the foreperson.</w:t>
      </w:r>
    </w:p>
    <w:p w14:paraId="01E9FA72" w14:textId="77777777" w:rsidR="00D504D4" w:rsidRPr="009D2686" w:rsidRDefault="00D504D4" w:rsidP="00D504D4">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5.</w:t>
      </w:r>
      <w:r w:rsidRPr="009D2686">
        <w:rPr>
          <w:rFonts w:ascii="Times New Roman" w:hAnsi="Times New Roman" w:cs="Times New Roman"/>
          <w:color w:val="000000" w:themeColor="text1"/>
        </w:rPr>
        <w:tab/>
        <w:t>The jury must not disclose how it stands numerically or otherwise on the question of guilt or innocence.</w:t>
      </w:r>
    </w:p>
    <w:p w14:paraId="08398A1C" w14:textId="77777777" w:rsidR="00D504D4" w:rsidRPr="009D2686" w:rsidRDefault="00D504D4" w:rsidP="00D504D4">
      <w:pPr>
        <w:pStyle w:val="level123"/>
        <w:ind w:right="72"/>
        <w:rPr>
          <w:rFonts w:ascii="Times New Roman" w:hAnsi="Times New Roman" w:cs="Times New Roman"/>
          <w:b/>
          <w:bCs/>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Consider giving the jury the following instruction at the close of the case</w:t>
      </w:r>
      <w:bookmarkStart w:id="0" w:name="_Hlk187656125"/>
      <w:r w:rsidRPr="009D2686">
        <w:rPr>
          <w:rStyle w:val="FootnoteReference"/>
          <w:rFonts w:cs="Times New Roman"/>
          <w:color w:val="000000" w:themeColor="text1"/>
        </w:rPr>
        <w:footnoteReference w:id="2"/>
      </w:r>
      <w:bookmarkEnd w:id="0"/>
      <w:r w:rsidRPr="009D2686">
        <w:rPr>
          <w:rFonts w:ascii="Times New Roman" w:hAnsi="Times New Roman" w:cs="Times New Roman"/>
          <w:color w:val="000000" w:themeColor="text1"/>
        </w:rPr>
        <w:t>:</w:t>
      </w:r>
    </w:p>
    <w:p w14:paraId="22740B79" w14:textId="77777777" w:rsidR="00D504D4" w:rsidRPr="009D2686" w:rsidRDefault="00D504D4" w:rsidP="00D504D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xml:space="preserve">Throughout your deliberations, you may discuss with each other the evidence and the law that has been presented in this case, but you must not communicate with anyone else by any means about the case. You also cannot learn from outside sources about the case, the matters in the case, the legal issues in the case, or individuals or other entities involved in the case. This means you may not use any electronic device or media (such as a phone, computer, or tablet), the internet, any text or instant messaging service, or any social media apps (such as X (formerly Twitter), Facebook, Instagram, LinkedIn, YouTube, WhatsApp, and Snapchat) to research or communicate about what you’ve seen and heard in this courtroom. </w:t>
      </w:r>
    </w:p>
    <w:p w14:paraId="58E8ED60" w14:textId="77777777" w:rsidR="00D504D4" w:rsidRPr="009D2686" w:rsidRDefault="00D504D4" w:rsidP="00D504D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These restrictions continue during deliberations because it is essential, under our Constitution, that you decide this case based solely on the evidence and law presented in this courtroom. Information you find on the internet or through social media might be incomplete, misleading, or inaccurate. And, as I noted in my instructions at the start of the trial, even using your smartphones, tablets, and computers—and the news and social media apps on those devices—may inadvertently expose you to certain notices, such as pop-ups or advertisements, that could influence your consideration of the matters you’ve heard about in this courtroom. </w:t>
      </w:r>
    </w:p>
    <w:p w14:paraId="7AE750F4" w14:textId="77777777" w:rsidR="00D504D4" w:rsidRPr="009D2686" w:rsidRDefault="00D504D4" w:rsidP="00D504D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You are permitted to discuss the case with only your fellow jurors during deliberations because they have seen and heard the same evidence and instructions on the law that you have, and it is important that you decide this case solely on the evidence presented during the trial, without undue influence by anything or anyone outside of the courtroom. For this reason, I expect you to inform me at the earliest opportunity, should you learn about or share any information about this case outside of this courtroom or the jury room, or learn that another juror has done so. </w:t>
      </w:r>
    </w:p>
    <w:p w14:paraId="17199754" w14:textId="77777777" w:rsidR="00D504D4" w:rsidRPr="009D2686" w:rsidRDefault="00D504D4" w:rsidP="00D504D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Any juror who violates these restrictions jeopardizes the fairness of these proceedings, and a mistrial could result, which would require the entire trial process to start over.</w:t>
      </w:r>
    </w:p>
    <w:p w14:paraId="51779482" w14:textId="77777777" w:rsidR="00D504D4" w:rsidRDefault="00D504D4"/>
    <w:sectPr w:rsidR="00D504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661C" w14:textId="77777777" w:rsidR="00D504D4" w:rsidRDefault="00D504D4" w:rsidP="00D504D4">
      <w:pPr>
        <w:spacing w:after="0" w:line="240" w:lineRule="auto"/>
      </w:pPr>
      <w:r>
        <w:separator/>
      </w:r>
    </w:p>
  </w:endnote>
  <w:endnote w:type="continuationSeparator" w:id="0">
    <w:p w14:paraId="702D3A56" w14:textId="77777777" w:rsidR="00D504D4" w:rsidRDefault="00D504D4" w:rsidP="00D5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DDD9" w14:textId="77777777" w:rsidR="00D504D4" w:rsidRDefault="00D504D4" w:rsidP="00D504D4">
      <w:pPr>
        <w:spacing w:after="0" w:line="240" w:lineRule="auto"/>
      </w:pPr>
      <w:r>
        <w:separator/>
      </w:r>
    </w:p>
  </w:footnote>
  <w:footnote w:type="continuationSeparator" w:id="0">
    <w:p w14:paraId="770DF571" w14:textId="77777777" w:rsidR="00D504D4" w:rsidRDefault="00D504D4" w:rsidP="00D504D4">
      <w:pPr>
        <w:spacing w:after="0" w:line="240" w:lineRule="auto"/>
      </w:pPr>
      <w:r>
        <w:continuationSeparator/>
      </w:r>
    </w:p>
  </w:footnote>
  <w:footnote w:id="1">
    <w:p w14:paraId="4BCF4091" w14:textId="77777777" w:rsidR="00D504D4" w:rsidRPr="009D2686" w:rsidRDefault="00D504D4" w:rsidP="00D504D4">
      <w:pPr>
        <w:pStyle w:val="footnotesnew"/>
        <w:rPr>
          <w:rFonts w:cs="Times New Roman"/>
          <w:color w:val="000000" w:themeColor="text1"/>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If special verdict forms or jury interrogatories are used, instruct the jury on how to answer them. Such devices should be used with caution, but they may be useful in multidefen</w:t>
      </w:r>
      <w:r w:rsidRPr="009D2686">
        <w:rPr>
          <w:rFonts w:cs="Times New Roman"/>
          <w:color w:val="000000" w:themeColor="text1"/>
        </w:rPr>
        <w:softHyphen/>
        <w:t>dant or other complex cases, or where jury findings (e.g., drug weights) affect statutory maximums. Note that special verdicts and jury interrogatories in criminal cases are not covered by the criminal rules of procedure or by statute, so the court should be familiar with the law of its circuit.</w:t>
      </w:r>
    </w:p>
  </w:footnote>
  <w:footnote w:id="2">
    <w:p w14:paraId="68ECC65A" w14:textId="77777777" w:rsidR="00D504D4" w:rsidRPr="009D2686" w:rsidRDefault="00D504D4" w:rsidP="00D504D4">
      <w:pPr>
        <w:pStyle w:val="footnotesnew"/>
        <w:rPr>
          <w:rFonts w:cs="Times New Roman"/>
          <w:iCs/>
          <w:color w:val="000000" w:themeColor="text1"/>
        </w:rPr>
      </w:pPr>
      <w:r w:rsidRPr="00093628">
        <w:rPr>
          <w:rFonts w:cs="Times New Roman"/>
          <w:color w:val="000000" w:themeColor="text1"/>
          <w:vertAlign w:val="superscript"/>
        </w:rPr>
        <w:footnoteRef/>
      </w:r>
      <w:r w:rsidRPr="009D2686">
        <w:rPr>
          <w:rFonts w:cs="Times New Roman"/>
          <w:color w:val="000000" w:themeColor="text1"/>
        </w:rPr>
        <w:t xml:space="preserve"> The following instruction is from the “</w:t>
      </w:r>
      <w:r w:rsidRPr="009D2686">
        <w:rPr>
          <w:rFonts w:cs="Times New Roman"/>
          <w:bCs/>
          <w:color w:val="000000" w:themeColor="text1"/>
        </w:rPr>
        <w:t>Proposed Model Jury Instructions: The Use of Electronic Technology to Learn or Communicate about a Case,</w:t>
      </w:r>
      <w:r w:rsidRPr="009D2686">
        <w:rPr>
          <w:rFonts w:cs="Times New Roman"/>
          <w:b/>
          <w:bCs/>
          <w:color w:val="000000" w:themeColor="text1"/>
        </w:rPr>
        <w:t xml:space="preserve">” </w:t>
      </w:r>
      <w:r w:rsidRPr="009D2686">
        <w:rPr>
          <w:rFonts w:cs="Times New Roman"/>
          <w:color w:val="000000" w:themeColor="text1"/>
        </w:rPr>
        <w:t xml:space="preserve">prepared by the Judicial Conference Committee on Court Administration and Case Management (Updated June 2020). </w:t>
      </w:r>
      <w:r w:rsidRPr="009D2686">
        <w:rPr>
          <w:rStyle w:val="italic"/>
          <w:rFonts w:cs="Times New Roman"/>
          <w:color w:val="000000" w:themeColor="text1"/>
        </w:rPr>
        <w:t>See also</w:t>
      </w:r>
      <w:r w:rsidRPr="009D2686">
        <w:rPr>
          <w:rFonts w:cs="Times New Roman"/>
          <w:color w:val="000000" w:themeColor="text1"/>
        </w:rPr>
        <w:t xml:space="preserve"> Memorandum, “Updated Model jury Instructions on Social Media and Other Communications” from Judge Audrey G. Fleissig, Chair, Committee on Court Administration and Case Management (Sept. 1,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 (ao.dcn)</w:t>
        </w:r>
      </w:hyperlink>
      <w:r>
        <w:rPr>
          <w:rStyle w:val="Hyperlink"/>
          <w:rFonts w:cs="Times New Roman"/>
          <w:color w:val="0E2841" w:themeColor="text2"/>
        </w:rPr>
        <w:t>;</w:t>
      </w:r>
      <w:r w:rsidRPr="009D2686">
        <w:rPr>
          <w:rFonts w:cs="Times New Roman"/>
          <w:color w:val="000000" w:themeColor="text1"/>
        </w:rPr>
        <w:t xml:space="preserve"> “</w:t>
      </w:r>
      <w:r w:rsidRPr="009D2686">
        <w:rPr>
          <w:rFonts w:cs="Times New Roman"/>
          <w:bCs/>
          <w:color w:val="000000" w:themeColor="text1"/>
        </w:rPr>
        <w:t xml:space="preserve">Strategies for Preventing Jurors’ Use of Social Media During Trials and Deliberations” </w:t>
      </w:r>
      <w:r w:rsidRPr="009D2686">
        <w:rPr>
          <w:rStyle w:val="italic"/>
          <w:rFonts w:cs="Times New Roman"/>
          <w:color w:val="000000" w:themeColor="text1"/>
        </w:rPr>
        <w:t>in</w:t>
      </w:r>
      <w:r w:rsidRPr="009D2686">
        <w:rPr>
          <w:rFonts w:cs="Times New Roman"/>
          <w:color w:val="000000" w:themeColor="text1"/>
        </w:rPr>
        <w:t xml:space="preserve"> Jurors’ Use of Social Media During Trials and Deliberations: </w:t>
      </w:r>
      <w:r w:rsidRPr="009D2686">
        <w:rPr>
          <w:rFonts w:cs="Times New Roman"/>
          <w:iCs/>
          <w:color w:val="000000" w:themeColor="text1"/>
        </w:rPr>
        <w:t xml:space="preserve">A Report to the Judicial Conference Committee on Court Administration and Case Management </w:t>
      </w:r>
      <w:r w:rsidRPr="009D2686">
        <w:rPr>
          <w:rFonts w:cs="Times New Roman"/>
          <w:bCs/>
          <w:color w:val="000000" w:themeColor="text1"/>
        </w:rPr>
        <w:t>5–11</w:t>
      </w:r>
      <w:r w:rsidRPr="009D2686">
        <w:rPr>
          <w:rFonts w:cs="Times New Roman"/>
          <w:iCs/>
          <w:color w:val="000000" w:themeColor="text1"/>
        </w:rPr>
        <w:t xml:space="preserve"> (Federal Judicial Center Nov. 22, 2011), </w:t>
      </w:r>
      <w:r w:rsidRPr="009D2686">
        <w:rPr>
          <w:rStyle w:val="italic"/>
          <w:rFonts w:cs="Times New Roman"/>
          <w:color w:val="000000" w:themeColor="text1"/>
        </w:rPr>
        <w:t>available at</w:t>
      </w:r>
      <w:r w:rsidRPr="009D2686">
        <w:rPr>
          <w:rFonts w:cs="Times New Roman"/>
          <w:iCs/>
          <w:color w:val="000000" w:themeColor="text1"/>
        </w:rPr>
        <w:t xml:space="preserve"> </w:t>
      </w:r>
      <w:hyperlink r:id="rId2" w:history="1">
        <w:r w:rsidRPr="0048181A">
          <w:rPr>
            <w:rStyle w:val="Hyperlink"/>
            <w:rFonts w:cs="Times New Roman"/>
            <w:color w:val="0070C0"/>
          </w:rPr>
          <w:t>Jurors’ Use of Social Media (fjc.dcn)</w:t>
        </w:r>
      </w:hyperlink>
      <w:r w:rsidRPr="009D2686">
        <w:rPr>
          <w:rFonts w:cs="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D4"/>
    <w:rsid w:val="000D6417"/>
    <w:rsid w:val="00401996"/>
    <w:rsid w:val="00500E09"/>
    <w:rsid w:val="00524EFF"/>
    <w:rsid w:val="0057388C"/>
    <w:rsid w:val="007360D6"/>
    <w:rsid w:val="00794757"/>
    <w:rsid w:val="00845A11"/>
    <w:rsid w:val="00B40C72"/>
    <w:rsid w:val="00D504D4"/>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65D0"/>
  <w15:chartTrackingRefBased/>
  <w15:docId w15:val="{9859ED44-8013-4832-ABEF-1C74ADCD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50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50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4D4"/>
    <w:rPr>
      <w:rFonts w:eastAsiaTheme="majorEastAsia" w:cstheme="majorBidi"/>
      <w:color w:val="272727" w:themeColor="text1" w:themeTint="D8"/>
    </w:rPr>
  </w:style>
  <w:style w:type="paragraph" w:styleId="Title">
    <w:name w:val="Title"/>
    <w:basedOn w:val="Normal"/>
    <w:next w:val="Normal"/>
    <w:link w:val="TitleChar"/>
    <w:uiPriority w:val="10"/>
    <w:qFormat/>
    <w:rsid w:val="00D5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4D4"/>
    <w:pPr>
      <w:spacing w:before="160"/>
      <w:jc w:val="center"/>
    </w:pPr>
    <w:rPr>
      <w:i/>
      <w:iCs/>
      <w:color w:val="404040" w:themeColor="text1" w:themeTint="BF"/>
    </w:rPr>
  </w:style>
  <w:style w:type="character" w:customStyle="1" w:styleId="QuoteChar">
    <w:name w:val="Quote Char"/>
    <w:basedOn w:val="DefaultParagraphFont"/>
    <w:link w:val="Quote"/>
    <w:uiPriority w:val="29"/>
    <w:rsid w:val="00D504D4"/>
    <w:rPr>
      <w:i/>
      <w:iCs/>
      <w:color w:val="404040" w:themeColor="text1" w:themeTint="BF"/>
    </w:rPr>
  </w:style>
  <w:style w:type="paragraph" w:styleId="ListParagraph">
    <w:name w:val="List Paragraph"/>
    <w:basedOn w:val="Normal"/>
    <w:uiPriority w:val="34"/>
    <w:qFormat/>
    <w:rsid w:val="00D504D4"/>
    <w:pPr>
      <w:ind w:left="720"/>
      <w:contextualSpacing/>
    </w:pPr>
  </w:style>
  <w:style w:type="character" w:styleId="IntenseEmphasis">
    <w:name w:val="Intense Emphasis"/>
    <w:basedOn w:val="DefaultParagraphFont"/>
    <w:uiPriority w:val="21"/>
    <w:qFormat/>
    <w:rsid w:val="00D504D4"/>
    <w:rPr>
      <w:i/>
      <w:iCs/>
      <w:color w:val="0F4761" w:themeColor="accent1" w:themeShade="BF"/>
    </w:rPr>
  </w:style>
  <w:style w:type="paragraph" w:styleId="IntenseQuote">
    <w:name w:val="Intense Quote"/>
    <w:basedOn w:val="Normal"/>
    <w:next w:val="Normal"/>
    <w:link w:val="IntenseQuoteChar"/>
    <w:uiPriority w:val="30"/>
    <w:qFormat/>
    <w:rsid w:val="00D5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4D4"/>
    <w:rPr>
      <w:i/>
      <w:iCs/>
      <w:color w:val="0F4761" w:themeColor="accent1" w:themeShade="BF"/>
    </w:rPr>
  </w:style>
  <w:style w:type="character" w:styleId="IntenseReference">
    <w:name w:val="Intense Reference"/>
    <w:basedOn w:val="DefaultParagraphFont"/>
    <w:uiPriority w:val="32"/>
    <w:qFormat/>
    <w:rsid w:val="00D504D4"/>
    <w:rPr>
      <w:b/>
      <w:bCs/>
      <w:smallCaps/>
      <w:color w:val="0F4761" w:themeColor="accent1" w:themeShade="BF"/>
      <w:spacing w:val="5"/>
    </w:rPr>
  </w:style>
  <w:style w:type="character" w:styleId="FootnoteReference">
    <w:name w:val="footnote reference"/>
    <w:uiPriority w:val="99"/>
    <w:unhideWhenUsed/>
    <w:rsid w:val="00D504D4"/>
    <w:rPr>
      <w:rFonts w:ascii="Times New Roman" w:hAnsi="Times New Roman"/>
      <w:vertAlign w:val="superscript"/>
    </w:rPr>
  </w:style>
  <w:style w:type="character" w:styleId="Hyperlink">
    <w:name w:val="Hyperlink"/>
    <w:uiPriority w:val="99"/>
    <w:unhideWhenUsed/>
    <w:rsid w:val="00D504D4"/>
    <w:rPr>
      <w:rFonts w:ascii="Times New Roman" w:hAnsi="Times New Roman"/>
      <w:color w:val="0563C1"/>
      <w:u w:val="single"/>
    </w:rPr>
  </w:style>
  <w:style w:type="character" w:customStyle="1" w:styleId="italic">
    <w:name w:val="italic"/>
    <w:uiPriority w:val="1"/>
    <w:qFormat/>
    <w:rsid w:val="00D504D4"/>
    <w:rPr>
      <w:rFonts w:ascii="Times New Roman" w:hAnsi="Times New Roman"/>
      <w:i/>
      <w:color w:val="FF0000"/>
    </w:rPr>
  </w:style>
  <w:style w:type="paragraph" w:customStyle="1" w:styleId="footnotesnew">
    <w:name w:val="footnotesnew"/>
    <w:basedOn w:val="FootnoteText"/>
    <w:qFormat/>
    <w:rsid w:val="00D504D4"/>
    <w:pPr>
      <w:keepLines/>
      <w:spacing w:afterLines="20" w:after="48"/>
      <w:ind w:firstLine="360"/>
      <w:jc w:val="both"/>
    </w:pPr>
    <w:rPr>
      <w:rFonts w:ascii="Times New Roman" w:eastAsia="Calibri" w:hAnsi="Times New Roman" w:cs="Calibri"/>
    </w:rPr>
  </w:style>
  <w:style w:type="paragraph" w:customStyle="1" w:styleId="LevelABC">
    <w:name w:val="Level ABC"/>
    <w:basedOn w:val="Normal"/>
    <w:uiPriority w:val="99"/>
    <w:rsid w:val="00D504D4"/>
    <w:pPr>
      <w:tabs>
        <w:tab w:val="left" w:pos="360"/>
      </w:tabs>
      <w:autoSpaceDE w:val="0"/>
      <w:autoSpaceDN w:val="0"/>
      <w:spacing w:before="60" w:after="0" w:line="260" w:lineRule="atLeast"/>
      <w:ind w:left="360" w:hanging="360"/>
      <w:jc w:val="both"/>
    </w:pPr>
    <w:rPr>
      <w:rFonts w:ascii="Utopia" w:eastAsia="Times" w:hAnsi="Utopia" w:cs="Utopia"/>
      <w:kern w:val="0"/>
      <w:sz w:val="22"/>
      <w:szCs w:val="22"/>
    </w:rPr>
  </w:style>
  <w:style w:type="paragraph" w:customStyle="1" w:styleId="level123">
    <w:name w:val="level 123"/>
    <w:basedOn w:val="Normal"/>
    <w:uiPriority w:val="99"/>
    <w:rsid w:val="00D504D4"/>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levelabc0">
    <w:name w:val="level (a)(b)(c)"/>
    <w:basedOn w:val="Normal"/>
    <w:uiPriority w:val="99"/>
    <w:rsid w:val="00D504D4"/>
    <w:pPr>
      <w:tabs>
        <w:tab w:val="left" w:pos="360"/>
      </w:tabs>
      <w:autoSpaceDE w:val="0"/>
      <w:autoSpaceDN w:val="0"/>
      <w:spacing w:before="40" w:after="0" w:line="260" w:lineRule="atLeast"/>
      <w:ind w:left="1080" w:hanging="360"/>
      <w:jc w:val="both"/>
    </w:pPr>
    <w:rPr>
      <w:rFonts w:ascii="Utopia" w:eastAsia="Times" w:hAnsi="Utopia" w:cs="Utopia"/>
      <w:kern w:val="0"/>
      <w:sz w:val="22"/>
      <w:szCs w:val="22"/>
    </w:rPr>
  </w:style>
  <w:style w:type="paragraph" w:customStyle="1" w:styleId="colloquylevel1">
    <w:name w:val="colloquy level 1"/>
    <w:basedOn w:val="Normal"/>
    <w:uiPriority w:val="99"/>
    <w:rsid w:val="00D504D4"/>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styleId="FootnoteText">
    <w:name w:val="footnote text"/>
    <w:basedOn w:val="Normal"/>
    <w:link w:val="FootnoteTextChar"/>
    <w:uiPriority w:val="99"/>
    <w:semiHidden/>
    <w:unhideWhenUsed/>
    <w:rsid w:val="00D50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4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jc.dcn/sites/default/files/2012/DunnJuror.pdf" TargetMode="External"/><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3462</Characters>
  <Application>Microsoft Office Word</Application>
  <DocSecurity>0</DocSecurity>
  <Lines>28</Lines>
  <Paragraphs>8</Paragraphs>
  <ScaleCrop>false</ScaleCrop>
  <Company>Federal Judicial Center</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2025-12-12T15:54:00Z</dcterms:created>
  <dcterms:modified xsi:type="dcterms:W3CDTF">2025-12-12T16:00:00Z</dcterms:modified>
</cp:coreProperties>
</file>